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F1E8" w14:textId="77777777" w:rsidR="00FA6EED" w:rsidRPr="00FA6EED" w:rsidRDefault="00FA6EED" w:rsidP="00FA6EED">
      <w:pPr>
        <w:keepNext/>
        <w:keepLines/>
        <w:widowControl w:val="0"/>
        <w:ind w:firstLine="0"/>
        <w:jc w:val="center"/>
        <w:outlineLvl w:val="0"/>
        <w:rPr>
          <w:rFonts w:eastAsia="Times New Roman"/>
          <w:b/>
          <w:bCs/>
          <w:lang w:eastAsia="ru-RU" w:bidi="ru-RU"/>
        </w:rPr>
      </w:pPr>
      <w:bookmarkStart w:id="0" w:name="bookmark11"/>
      <w:r w:rsidRPr="00FA6EED">
        <w:rPr>
          <w:rFonts w:eastAsia="Times New Roman"/>
          <w:b/>
          <w:bCs/>
          <w:lang w:eastAsia="ru-RU" w:bidi="ru-RU"/>
        </w:rPr>
        <w:t>Лабораторное занятие 7</w:t>
      </w:r>
      <w:bookmarkEnd w:id="0"/>
    </w:p>
    <w:p w14:paraId="285A6EF8" w14:textId="6770E04B" w:rsidR="00FA6EED" w:rsidRPr="00FA6EED" w:rsidRDefault="00FA6EED" w:rsidP="00FA6EED">
      <w:pPr>
        <w:widowControl w:val="0"/>
        <w:ind w:firstLine="0"/>
        <w:jc w:val="center"/>
        <w:rPr>
          <w:rFonts w:eastAsia="Times New Roman"/>
          <w:b/>
          <w:bCs/>
          <w:lang w:eastAsia="ru-RU" w:bidi="ru-RU"/>
        </w:rPr>
      </w:pPr>
      <w:r w:rsidRPr="00FA6EED">
        <w:rPr>
          <w:rFonts w:eastAsia="Times New Roman"/>
          <w:b/>
          <w:bCs/>
          <w:lang w:eastAsia="ru-RU" w:bidi="ru-RU"/>
        </w:rPr>
        <w:t>Расчет численности пополнения и прогноз используемого запаса на предстоящие</w:t>
      </w:r>
      <w:r w:rsidR="0057323A">
        <w:rPr>
          <w:rFonts w:eastAsia="Times New Roman"/>
          <w:b/>
          <w:bCs/>
          <w:lang w:eastAsia="ru-RU" w:bidi="ru-RU"/>
        </w:rPr>
        <w:t xml:space="preserve"> </w:t>
      </w:r>
      <w:r w:rsidRPr="00FA6EED">
        <w:rPr>
          <w:rFonts w:eastAsia="Times New Roman"/>
          <w:b/>
          <w:bCs/>
          <w:lang w:eastAsia="ru-RU" w:bidi="ru-RU"/>
        </w:rPr>
        <w:t>годы промысла</w:t>
      </w:r>
    </w:p>
    <w:p w14:paraId="393A68FB" w14:textId="10DA34E9" w:rsidR="00FA6EED" w:rsidRPr="00FA6EED" w:rsidRDefault="00FA6EED" w:rsidP="00FA6EED">
      <w:pPr>
        <w:widowControl w:val="0"/>
        <w:ind w:firstLine="0"/>
        <w:jc w:val="center"/>
        <w:rPr>
          <w:rFonts w:eastAsia="Times New Roman"/>
          <w:b/>
          <w:bCs/>
          <w:lang w:eastAsia="ru-RU" w:bidi="ru-RU"/>
        </w:rPr>
      </w:pPr>
    </w:p>
    <w:p w14:paraId="24E8C1C7" w14:textId="77777777" w:rsidR="00FA6EED" w:rsidRPr="00FA6EED" w:rsidRDefault="00FA6EED" w:rsidP="00FA6EED">
      <w:pPr>
        <w:widowControl w:val="0"/>
        <w:ind w:firstLine="0"/>
        <w:rPr>
          <w:rFonts w:eastAsia="Times New Roman"/>
          <w:lang w:eastAsia="ru-RU" w:bidi="ru-RU"/>
        </w:rPr>
      </w:pPr>
      <w:r w:rsidRPr="00FA6EED">
        <w:rPr>
          <w:rFonts w:eastAsia="Times New Roman"/>
          <w:b/>
          <w:bCs/>
          <w:lang w:eastAsia="ru-RU" w:bidi="ru-RU"/>
        </w:rPr>
        <w:t>Материал и оборудование</w:t>
      </w:r>
      <w:r w:rsidRPr="00FA6EED">
        <w:rPr>
          <w:rFonts w:eastAsia="Times New Roman"/>
          <w:lang w:eastAsia="ru-RU" w:bidi="ru-RU"/>
        </w:rPr>
        <w:t>. Данные улова</w:t>
      </w:r>
    </w:p>
    <w:p w14:paraId="1E2C8C50" w14:textId="105EC218" w:rsidR="00FA6EED" w:rsidRPr="00FA6EED" w:rsidRDefault="00FA6EED" w:rsidP="00FA6EED">
      <w:pPr>
        <w:widowControl w:val="0"/>
        <w:ind w:firstLine="0"/>
        <w:rPr>
          <w:rFonts w:eastAsia="Times New Roman"/>
          <w:lang w:eastAsia="ru-RU" w:bidi="ru-RU"/>
        </w:rPr>
      </w:pPr>
      <w:r w:rsidRPr="00FA6EED">
        <w:rPr>
          <w:rFonts w:eastAsia="Times New Roman"/>
          <w:b/>
          <w:bCs/>
          <w:lang w:eastAsia="ru-RU" w:bidi="ru-RU"/>
        </w:rPr>
        <w:t>Задание.</w:t>
      </w:r>
      <w:r w:rsidRPr="00FA6EED">
        <w:rPr>
          <w:rFonts w:eastAsia="Times New Roman"/>
          <w:lang w:eastAsia="ru-RU" w:bidi="ru-RU"/>
        </w:rPr>
        <w:t xml:space="preserve"> Определите численность пополнения и составьте прогноз используемого запаса. Все данные занесите в тетрадь.</w:t>
      </w:r>
    </w:p>
    <w:p w14:paraId="305FE16F" w14:textId="69EF040E" w:rsidR="00FA6EED" w:rsidRPr="00FA6EED" w:rsidRDefault="00FA6EED" w:rsidP="00FA6EED">
      <w:pPr>
        <w:widowControl w:val="0"/>
        <w:ind w:firstLine="360"/>
        <w:rPr>
          <w:rFonts w:eastAsia="Times New Roman"/>
          <w:lang w:eastAsia="ru-RU" w:bidi="ru-RU"/>
        </w:rPr>
      </w:pPr>
      <w:r w:rsidRPr="00FA6EED">
        <w:rPr>
          <w:rFonts w:eastAsia="Times New Roman"/>
          <w:lang w:eastAsia="ru-RU" w:bidi="ru-RU"/>
        </w:rPr>
        <w:t>Как мы видим, изложенный способ, позволяя определить величину промыслового запаса вплоть до последнего года промысла, не дает возможности прогнозировать промысловую численность новых поколений, еще не успевших проявить себя в промысле хотя бы по одному году. При ежегодно проводимом учете молоди (икры, личинок, мальков и т.д.) это препятствие может быть устранено определением связи между индексом урожайности поколений и их последующим выловом. Для этого условные результаты съемки молоди, выраженные, например, в количестве сеголетков на час траления, сопоставим с численностью учтенной промысловой части соответствующих поколений (табл</w:t>
      </w:r>
      <w:r>
        <w:rPr>
          <w:rFonts w:eastAsia="Times New Roman"/>
          <w:lang w:eastAsia="ru-RU" w:bidi="ru-RU"/>
        </w:rPr>
        <w:t>.</w:t>
      </w:r>
      <w:r w:rsidRPr="00FA6EED">
        <w:rPr>
          <w:rFonts w:eastAsia="Times New Roman"/>
          <w:lang w:eastAsia="ru-RU" w:bidi="ru-RU"/>
        </w:rPr>
        <w:t>).</w:t>
      </w:r>
    </w:p>
    <w:p w14:paraId="326A3F4B" w14:textId="310AE52E" w:rsidR="00FA6EED" w:rsidRDefault="00FA6EED" w:rsidP="00FA6EED">
      <w:pPr>
        <w:widowControl w:val="0"/>
        <w:spacing w:line="274" w:lineRule="exact"/>
        <w:ind w:left="160" w:right="280" w:firstLine="360"/>
        <w:rPr>
          <w:rFonts w:eastAsia="Times New Roman"/>
          <w:sz w:val="24"/>
          <w:szCs w:val="24"/>
          <w:lang w:eastAsia="ru-RU" w:bidi="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97"/>
        <w:gridCol w:w="942"/>
        <w:gridCol w:w="992"/>
        <w:gridCol w:w="993"/>
        <w:gridCol w:w="992"/>
        <w:gridCol w:w="992"/>
        <w:gridCol w:w="992"/>
        <w:gridCol w:w="851"/>
      </w:tblGrid>
      <w:tr w:rsidR="00FA6EED" w:rsidRPr="00FA6EED" w14:paraId="0AF1A10D" w14:textId="77777777" w:rsidTr="00FA6EED">
        <w:trPr>
          <w:trHeight w:hRule="exact" w:val="374"/>
        </w:trPr>
        <w:tc>
          <w:tcPr>
            <w:tcW w:w="2597" w:type="dxa"/>
            <w:vMerge w:val="restart"/>
            <w:shd w:val="clear" w:color="auto" w:fill="FFFFFF"/>
          </w:tcPr>
          <w:p w14:paraId="31322B15"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Показатели</w:t>
            </w:r>
          </w:p>
        </w:tc>
        <w:tc>
          <w:tcPr>
            <w:tcW w:w="6754" w:type="dxa"/>
            <w:gridSpan w:val="7"/>
            <w:shd w:val="clear" w:color="auto" w:fill="FFFFFF"/>
          </w:tcPr>
          <w:p w14:paraId="6CAB83F1"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Год рождения поколения</w:t>
            </w:r>
          </w:p>
        </w:tc>
      </w:tr>
      <w:tr w:rsidR="00FA6EED" w:rsidRPr="00FA6EED" w14:paraId="76DB9E30" w14:textId="77777777" w:rsidTr="00FA6EED">
        <w:trPr>
          <w:trHeight w:hRule="exact" w:val="505"/>
        </w:trPr>
        <w:tc>
          <w:tcPr>
            <w:tcW w:w="2597" w:type="dxa"/>
            <w:vMerge/>
            <w:shd w:val="clear" w:color="auto" w:fill="FFFFFF"/>
          </w:tcPr>
          <w:p w14:paraId="72BC23CC" w14:textId="77777777" w:rsidR="00FA6EED" w:rsidRPr="00FA6EED" w:rsidRDefault="00FA6EED" w:rsidP="00FA6EED">
            <w:pPr>
              <w:pStyle w:val="a3"/>
              <w:widowControl w:val="0"/>
              <w:numPr>
                <w:ilvl w:val="0"/>
                <w:numId w:val="2"/>
              </w:numPr>
              <w:spacing w:line="240" w:lineRule="auto"/>
              <w:ind w:left="-15" w:firstLine="0"/>
              <w:jc w:val="center"/>
              <w:rPr>
                <w:rFonts w:ascii="Arial Unicode MS" w:eastAsia="Arial Unicode MS" w:hAnsi="Arial Unicode MS" w:cs="Arial Unicode MS"/>
                <w:sz w:val="10"/>
                <w:szCs w:val="10"/>
                <w:lang w:eastAsia="ru-RU" w:bidi="ru-RU"/>
              </w:rPr>
            </w:pPr>
          </w:p>
        </w:tc>
        <w:tc>
          <w:tcPr>
            <w:tcW w:w="942" w:type="dxa"/>
            <w:shd w:val="clear" w:color="auto" w:fill="FFFFFF"/>
            <w:vAlign w:val="center"/>
          </w:tcPr>
          <w:p w14:paraId="36B62C2A" w14:textId="1A969DD7" w:rsidR="00FA6EED" w:rsidRPr="00FA6EED" w:rsidRDefault="00FA6EED" w:rsidP="00FA6EED">
            <w:pPr>
              <w:widowControl w:val="0"/>
              <w:spacing w:line="210" w:lineRule="exact"/>
              <w:ind w:left="-15" w:firstLine="0"/>
              <w:jc w:val="center"/>
              <w:rPr>
                <w:rFonts w:eastAsia="Times New Roman"/>
                <w:sz w:val="24"/>
                <w:szCs w:val="24"/>
                <w:lang w:eastAsia="ru-RU" w:bidi="ru-RU"/>
              </w:rPr>
            </w:pPr>
            <w:r>
              <w:rPr>
                <w:rFonts w:eastAsia="Times New Roman"/>
                <w:b/>
                <w:bCs/>
                <w:sz w:val="21"/>
                <w:szCs w:val="21"/>
                <w:lang w:eastAsia="ru-RU" w:bidi="ru-RU"/>
              </w:rPr>
              <w:t>200</w:t>
            </w:r>
            <w:r w:rsidRPr="00FA6EED">
              <w:rPr>
                <w:rFonts w:eastAsia="Times New Roman"/>
                <w:b/>
                <w:bCs/>
                <w:sz w:val="21"/>
                <w:szCs w:val="21"/>
                <w:lang w:eastAsia="ru-RU" w:bidi="ru-RU"/>
              </w:rPr>
              <w:t>6</w:t>
            </w:r>
          </w:p>
        </w:tc>
        <w:tc>
          <w:tcPr>
            <w:tcW w:w="992" w:type="dxa"/>
            <w:shd w:val="clear" w:color="auto" w:fill="FFFFFF"/>
            <w:vAlign w:val="center"/>
          </w:tcPr>
          <w:p w14:paraId="05C92632" w14:textId="40DBD8AC" w:rsidR="00FA6EED" w:rsidRPr="00FA6EED" w:rsidRDefault="00FA6EED" w:rsidP="00FA6EED">
            <w:pPr>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2007</w:t>
            </w:r>
          </w:p>
        </w:tc>
        <w:tc>
          <w:tcPr>
            <w:tcW w:w="993" w:type="dxa"/>
            <w:shd w:val="clear" w:color="auto" w:fill="FFFFFF"/>
            <w:vAlign w:val="center"/>
          </w:tcPr>
          <w:p w14:paraId="10CB04F7" w14:textId="0360E2C6"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2008</w:t>
            </w:r>
          </w:p>
        </w:tc>
        <w:tc>
          <w:tcPr>
            <w:tcW w:w="992" w:type="dxa"/>
            <w:shd w:val="clear" w:color="auto" w:fill="FFFFFF"/>
            <w:vAlign w:val="center"/>
          </w:tcPr>
          <w:p w14:paraId="578A1F11" w14:textId="12664042"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2009</w:t>
            </w:r>
          </w:p>
        </w:tc>
        <w:tc>
          <w:tcPr>
            <w:tcW w:w="992" w:type="dxa"/>
            <w:shd w:val="clear" w:color="auto" w:fill="FFFFFF"/>
            <w:vAlign w:val="center"/>
          </w:tcPr>
          <w:p w14:paraId="68D6B6E0" w14:textId="12CC0DC6"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w:t>
            </w:r>
            <w:r>
              <w:rPr>
                <w:rFonts w:eastAsia="Times New Roman"/>
                <w:b/>
                <w:bCs/>
                <w:sz w:val="21"/>
                <w:szCs w:val="21"/>
                <w:lang w:eastAsia="ru-RU" w:bidi="ru-RU"/>
              </w:rPr>
              <w:t>1</w:t>
            </w:r>
            <w:r w:rsidRPr="00FA6EED">
              <w:rPr>
                <w:rFonts w:eastAsia="Times New Roman"/>
                <w:b/>
                <w:bCs/>
                <w:sz w:val="21"/>
                <w:szCs w:val="21"/>
                <w:lang w:eastAsia="ru-RU" w:bidi="ru-RU"/>
              </w:rPr>
              <w:t>0</w:t>
            </w:r>
          </w:p>
        </w:tc>
        <w:tc>
          <w:tcPr>
            <w:tcW w:w="992" w:type="dxa"/>
            <w:shd w:val="clear" w:color="auto" w:fill="FFFFFF"/>
            <w:vAlign w:val="center"/>
          </w:tcPr>
          <w:p w14:paraId="10329834" w14:textId="69B8FDC8"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w:t>
            </w:r>
            <w:r>
              <w:rPr>
                <w:rFonts w:eastAsia="Times New Roman"/>
                <w:b/>
                <w:bCs/>
                <w:sz w:val="21"/>
                <w:szCs w:val="21"/>
                <w:lang w:eastAsia="ru-RU" w:bidi="ru-RU"/>
              </w:rPr>
              <w:t>1</w:t>
            </w:r>
            <w:r w:rsidRPr="00FA6EED">
              <w:rPr>
                <w:rFonts w:eastAsia="Times New Roman"/>
                <w:b/>
                <w:bCs/>
                <w:sz w:val="21"/>
                <w:szCs w:val="21"/>
                <w:lang w:eastAsia="ru-RU" w:bidi="ru-RU"/>
              </w:rPr>
              <w:t>1</w:t>
            </w:r>
          </w:p>
        </w:tc>
        <w:tc>
          <w:tcPr>
            <w:tcW w:w="851" w:type="dxa"/>
            <w:shd w:val="clear" w:color="auto" w:fill="FFFFFF"/>
            <w:vAlign w:val="center"/>
          </w:tcPr>
          <w:p w14:paraId="0005BACB" w14:textId="36750724"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w:t>
            </w:r>
            <w:r>
              <w:rPr>
                <w:rFonts w:eastAsia="Times New Roman"/>
                <w:b/>
                <w:bCs/>
                <w:sz w:val="21"/>
                <w:szCs w:val="21"/>
                <w:lang w:eastAsia="ru-RU" w:bidi="ru-RU"/>
              </w:rPr>
              <w:t>1</w:t>
            </w:r>
            <w:r w:rsidRPr="00FA6EED">
              <w:rPr>
                <w:rFonts w:eastAsia="Times New Roman"/>
                <w:b/>
                <w:bCs/>
                <w:sz w:val="21"/>
                <w:szCs w:val="21"/>
                <w:lang w:eastAsia="ru-RU" w:bidi="ru-RU"/>
              </w:rPr>
              <w:t>2</w:t>
            </w:r>
          </w:p>
        </w:tc>
      </w:tr>
      <w:tr w:rsidR="00FA6EED" w:rsidRPr="00FA6EED" w14:paraId="6D5CBD0D" w14:textId="77777777" w:rsidTr="00FA6EED">
        <w:trPr>
          <w:trHeight w:val="691"/>
        </w:trPr>
        <w:tc>
          <w:tcPr>
            <w:tcW w:w="2597" w:type="dxa"/>
            <w:shd w:val="clear" w:color="auto" w:fill="FFFFFF"/>
          </w:tcPr>
          <w:p w14:paraId="46D3C556" w14:textId="3510F252" w:rsidR="00FA6EED" w:rsidRPr="00FA6EED" w:rsidRDefault="00FA6EED" w:rsidP="00FA6EED">
            <w:pPr>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Число сеголетков на 1 ч траления</w:t>
            </w:r>
          </w:p>
        </w:tc>
        <w:tc>
          <w:tcPr>
            <w:tcW w:w="942" w:type="dxa"/>
            <w:shd w:val="clear" w:color="auto" w:fill="FFFFFF"/>
            <w:vAlign w:val="center"/>
          </w:tcPr>
          <w:p w14:paraId="45464E28"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w:t>
            </w:r>
          </w:p>
        </w:tc>
        <w:tc>
          <w:tcPr>
            <w:tcW w:w="992" w:type="dxa"/>
            <w:shd w:val="clear" w:color="auto" w:fill="FFFFFF"/>
            <w:vAlign w:val="center"/>
          </w:tcPr>
          <w:p w14:paraId="35312D2C"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32</w:t>
            </w:r>
          </w:p>
        </w:tc>
        <w:tc>
          <w:tcPr>
            <w:tcW w:w="993" w:type="dxa"/>
            <w:shd w:val="clear" w:color="auto" w:fill="FFFFFF"/>
            <w:vAlign w:val="center"/>
          </w:tcPr>
          <w:p w14:paraId="3A9EC641"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52</w:t>
            </w:r>
          </w:p>
        </w:tc>
        <w:tc>
          <w:tcPr>
            <w:tcW w:w="992" w:type="dxa"/>
            <w:shd w:val="clear" w:color="auto" w:fill="FFFFFF"/>
            <w:vAlign w:val="center"/>
          </w:tcPr>
          <w:p w14:paraId="78287A36"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62</w:t>
            </w:r>
          </w:p>
        </w:tc>
        <w:tc>
          <w:tcPr>
            <w:tcW w:w="992" w:type="dxa"/>
            <w:shd w:val="clear" w:color="auto" w:fill="FFFFFF"/>
            <w:vAlign w:val="center"/>
          </w:tcPr>
          <w:p w14:paraId="43E55836"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83</w:t>
            </w:r>
          </w:p>
        </w:tc>
        <w:tc>
          <w:tcPr>
            <w:tcW w:w="992" w:type="dxa"/>
            <w:shd w:val="clear" w:color="auto" w:fill="FFFFFF"/>
            <w:vAlign w:val="center"/>
          </w:tcPr>
          <w:p w14:paraId="5075ED5A"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134</w:t>
            </w:r>
          </w:p>
        </w:tc>
        <w:tc>
          <w:tcPr>
            <w:tcW w:w="851" w:type="dxa"/>
            <w:shd w:val="clear" w:color="auto" w:fill="FFFFFF"/>
            <w:vAlign w:val="center"/>
          </w:tcPr>
          <w:p w14:paraId="571F7873"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90</w:t>
            </w:r>
          </w:p>
        </w:tc>
      </w:tr>
      <w:tr w:rsidR="00FA6EED" w:rsidRPr="00FA6EED" w14:paraId="41B51441" w14:textId="77777777" w:rsidTr="00FA6EED">
        <w:trPr>
          <w:trHeight w:hRule="exact" w:val="720"/>
        </w:trPr>
        <w:tc>
          <w:tcPr>
            <w:tcW w:w="2597" w:type="dxa"/>
            <w:shd w:val="clear" w:color="auto" w:fill="FFFFFF"/>
          </w:tcPr>
          <w:p w14:paraId="39C17A16" w14:textId="77777777" w:rsidR="00FA6EED" w:rsidRPr="00FA6EED" w:rsidRDefault="00FA6EED" w:rsidP="00FA6EED">
            <w:pPr>
              <w:pStyle w:val="a3"/>
              <w:widowControl w:val="0"/>
              <w:spacing w:line="230" w:lineRule="exact"/>
              <w:ind w:left="-15" w:firstLine="0"/>
              <w:rPr>
                <w:rFonts w:eastAsia="Times New Roman"/>
                <w:sz w:val="24"/>
                <w:szCs w:val="24"/>
                <w:lang w:eastAsia="ru-RU" w:bidi="ru-RU"/>
              </w:rPr>
            </w:pPr>
            <w:r w:rsidRPr="00FA6EED">
              <w:rPr>
                <w:rFonts w:eastAsia="Times New Roman"/>
                <w:b/>
                <w:bCs/>
                <w:sz w:val="21"/>
                <w:szCs w:val="21"/>
                <w:lang w:eastAsia="ru-RU" w:bidi="ru-RU"/>
              </w:rPr>
              <w:t>Промысловая численность поколения, млн. экз.</w:t>
            </w:r>
          </w:p>
        </w:tc>
        <w:tc>
          <w:tcPr>
            <w:tcW w:w="942" w:type="dxa"/>
            <w:shd w:val="clear" w:color="auto" w:fill="FFFFFF"/>
            <w:vAlign w:val="center"/>
          </w:tcPr>
          <w:p w14:paraId="4E757848"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131</w:t>
            </w:r>
          </w:p>
        </w:tc>
        <w:tc>
          <w:tcPr>
            <w:tcW w:w="992" w:type="dxa"/>
            <w:shd w:val="clear" w:color="auto" w:fill="FFFFFF"/>
            <w:vAlign w:val="center"/>
          </w:tcPr>
          <w:p w14:paraId="0B943747"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156</w:t>
            </w:r>
          </w:p>
        </w:tc>
        <w:tc>
          <w:tcPr>
            <w:tcW w:w="993" w:type="dxa"/>
            <w:shd w:val="clear" w:color="auto" w:fill="FFFFFF"/>
            <w:vAlign w:val="center"/>
          </w:tcPr>
          <w:p w14:paraId="50195F75"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170</w:t>
            </w:r>
          </w:p>
        </w:tc>
        <w:tc>
          <w:tcPr>
            <w:tcW w:w="992" w:type="dxa"/>
            <w:shd w:val="clear" w:color="auto" w:fill="FFFFFF"/>
            <w:vAlign w:val="center"/>
          </w:tcPr>
          <w:p w14:paraId="786FDBF9"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197</w:t>
            </w:r>
          </w:p>
        </w:tc>
        <w:tc>
          <w:tcPr>
            <w:tcW w:w="992" w:type="dxa"/>
            <w:shd w:val="clear" w:color="auto" w:fill="FFFFFF"/>
            <w:vAlign w:val="center"/>
          </w:tcPr>
          <w:p w14:paraId="7656E2CE"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205</w:t>
            </w:r>
          </w:p>
        </w:tc>
        <w:tc>
          <w:tcPr>
            <w:tcW w:w="992" w:type="dxa"/>
            <w:shd w:val="clear" w:color="auto" w:fill="FFFFFF"/>
            <w:vAlign w:val="center"/>
          </w:tcPr>
          <w:p w14:paraId="7E47E2B5"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250</w:t>
            </w:r>
          </w:p>
        </w:tc>
        <w:tc>
          <w:tcPr>
            <w:tcW w:w="851" w:type="dxa"/>
            <w:shd w:val="clear" w:color="auto" w:fill="FFFFFF"/>
            <w:vAlign w:val="center"/>
          </w:tcPr>
          <w:p w14:paraId="26D12CEC" w14:textId="77777777" w:rsidR="00FA6EED" w:rsidRPr="00FA6EED" w:rsidRDefault="00FA6EED" w:rsidP="00FA6EED">
            <w:pPr>
              <w:pStyle w:val="a3"/>
              <w:widowControl w:val="0"/>
              <w:spacing w:line="210" w:lineRule="exact"/>
              <w:ind w:left="-15" w:firstLine="0"/>
              <w:jc w:val="center"/>
              <w:rPr>
                <w:rFonts w:eastAsia="Times New Roman"/>
                <w:sz w:val="24"/>
                <w:szCs w:val="24"/>
                <w:lang w:eastAsia="ru-RU" w:bidi="ru-RU"/>
              </w:rPr>
            </w:pPr>
            <w:r w:rsidRPr="00FA6EED">
              <w:rPr>
                <w:rFonts w:eastAsia="Times New Roman"/>
                <w:b/>
                <w:bCs/>
                <w:sz w:val="21"/>
                <w:szCs w:val="21"/>
                <w:lang w:eastAsia="ru-RU" w:bidi="ru-RU"/>
              </w:rPr>
              <w:t>?</w:t>
            </w:r>
          </w:p>
        </w:tc>
      </w:tr>
    </w:tbl>
    <w:p w14:paraId="0A06F3C0" w14:textId="47C1BEA7" w:rsidR="00FA6EED" w:rsidRDefault="00FA6EED" w:rsidP="00FA6EED">
      <w:pPr>
        <w:widowControl w:val="0"/>
        <w:spacing w:line="274" w:lineRule="exact"/>
        <w:ind w:left="-15" w:right="280" w:firstLine="0"/>
        <w:jc w:val="center"/>
        <w:rPr>
          <w:rFonts w:eastAsia="Times New Roman"/>
          <w:sz w:val="24"/>
          <w:szCs w:val="24"/>
          <w:lang w:eastAsia="ru-RU" w:bidi="ru-RU"/>
        </w:rPr>
      </w:pPr>
    </w:p>
    <w:p w14:paraId="6CD347FE" w14:textId="77777777" w:rsidR="00965F99" w:rsidRPr="00965F99" w:rsidRDefault="00965F99" w:rsidP="00965F99">
      <w:pPr>
        <w:widowControl w:val="0"/>
        <w:ind w:firstLine="0"/>
        <w:jc w:val="center"/>
        <w:rPr>
          <w:rFonts w:eastAsia="Times New Roman"/>
          <w:lang w:eastAsia="ru-RU" w:bidi="ru-RU"/>
        </w:rPr>
      </w:pPr>
      <w:r w:rsidRPr="00965F99">
        <w:rPr>
          <w:rFonts w:eastAsia="Times New Roman"/>
          <w:lang w:eastAsia="ru-RU" w:bidi="ru-RU"/>
        </w:rPr>
        <w:t>Связь индексов численности молоди с промысловой численностью поколений (цифры у точек – годы рождения поколения)</w:t>
      </w:r>
    </w:p>
    <w:p w14:paraId="19DEA23B" w14:textId="007DDCAE" w:rsidR="00965F99" w:rsidRDefault="00965F99" w:rsidP="00965F99">
      <w:pPr>
        <w:widowControl w:val="0"/>
        <w:ind w:firstLine="0"/>
        <w:rPr>
          <w:rFonts w:eastAsia="Times New Roman"/>
          <w:lang w:eastAsia="ru-RU" w:bidi="ru-RU"/>
        </w:rPr>
      </w:pPr>
      <w:r w:rsidRPr="00965F99">
        <w:rPr>
          <w:rFonts w:eastAsia="Times New Roman"/>
          <w:lang w:eastAsia="ru-RU" w:bidi="ru-RU"/>
        </w:rPr>
        <w:t xml:space="preserve">Метод наименьших квадратов, позволяющий для функций разного вида аналитически определить положение теоретической линии регрессии по имеющимся эмпирическим точкам, изложен во многих руководствах по статистике, например, в руководстве Н.А. </w:t>
      </w:r>
      <w:proofErr w:type="spellStart"/>
      <w:r w:rsidRPr="00965F99">
        <w:rPr>
          <w:rFonts w:eastAsia="Times New Roman"/>
          <w:lang w:eastAsia="ru-RU" w:bidi="ru-RU"/>
        </w:rPr>
        <w:t>Плохинского</w:t>
      </w:r>
      <w:proofErr w:type="spellEnd"/>
      <w:r w:rsidRPr="00965F99">
        <w:rPr>
          <w:rFonts w:eastAsia="Times New Roman"/>
          <w:lang w:eastAsia="ru-RU" w:bidi="ru-RU"/>
        </w:rPr>
        <w:t xml:space="preserve">. Однако в данном случае можно обочтись и упрощенным графическим способом нахождения кривой, равноотстоящей от всех точек на графике. Вычертив "на глаз" такую линию (кривая АВ), можно использовать ее для определения величины неэксплуатируемого поколения 2012 г. рождения, по которому известна пока только численность сеголетков на 1 ч траления (см. табл.). Отложив эту величину на оси абсцисс и восставив из найденной точки перпендикуляр до пересечения с кривой АВ, на вертикальной оси находим соответствующую данному положению прогностическую величину промысловой численности этого поколения (в таблице соответствующая графа отмечена вопросительным </w:t>
      </w:r>
      <w:r w:rsidRPr="00965F99">
        <w:rPr>
          <w:rFonts w:eastAsia="Times New Roman"/>
          <w:lang w:eastAsia="ru-RU" w:bidi="ru-RU"/>
        </w:rPr>
        <w:lastRenderedPageBreak/>
        <w:t>знаком).</w:t>
      </w:r>
    </w:p>
    <w:p w14:paraId="324D34A4" w14:textId="77777777" w:rsidR="00965F99" w:rsidRDefault="00965F99" w:rsidP="00965F99">
      <w:pPr>
        <w:widowControl w:val="0"/>
        <w:ind w:firstLine="0"/>
        <w:rPr>
          <w:rFonts w:eastAsia="Times New Roman"/>
          <w:lang w:eastAsia="ru-RU" w:bidi="ru-RU"/>
        </w:rPr>
      </w:pPr>
    </w:p>
    <w:p w14:paraId="6EBBE575" w14:textId="0D0274F3" w:rsidR="00FA6EED" w:rsidRPr="00FA6EED" w:rsidRDefault="00FA6EED" w:rsidP="00965F99">
      <w:pPr>
        <w:widowControl w:val="0"/>
        <w:ind w:firstLine="0"/>
        <w:rPr>
          <w:rFonts w:eastAsia="Times New Roman"/>
          <w:lang w:eastAsia="ru-RU" w:bidi="ru-RU"/>
        </w:rPr>
      </w:pPr>
      <w:r w:rsidRPr="00FA6EED">
        <w:rPr>
          <w:rFonts w:eastAsia="Times New Roman"/>
          <w:lang w:eastAsia="ru-RU" w:bidi="ru-RU"/>
        </w:rPr>
        <w:t>Нанесенные на график, эти данные демонстрируют криволинейную зависимость</w:t>
      </w:r>
    </w:p>
    <w:p w14:paraId="50AA8CE4" w14:textId="77777777" w:rsidR="00FA6EED" w:rsidRPr="00FA6EED" w:rsidRDefault="00FA6EED" w:rsidP="0057323A">
      <w:pPr>
        <w:widowControl w:val="0"/>
        <w:ind w:firstLine="0"/>
        <w:jc w:val="left"/>
        <w:rPr>
          <w:rFonts w:ascii="Arial Unicode MS" w:eastAsia="Arial Unicode MS" w:hAnsi="Arial Unicode MS" w:cs="Arial Unicode MS"/>
          <w:lang w:eastAsia="ru-RU" w:bidi="ru-RU"/>
        </w:rPr>
      </w:pPr>
    </w:p>
    <w:p w14:paraId="38CE1B67" w14:textId="77777777" w:rsidR="00FA6EED" w:rsidRPr="00FA6EED" w:rsidRDefault="00FA6EED" w:rsidP="00FA6EED">
      <w:pPr>
        <w:framePr w:h="4507" w:wrap="notBeside" w:vAnchor="text" w:hAnchor="text" w:xAlign="center" w:y="1"/>
        <w:widowControl w:val="0"/>
        <w:spacing w:line="110" w:lineRule="exact"/>
        <w:ind w:firstLine="0"/>
        <w:jc w:val="left"/>
        <w:rPr>
          <w:rFonts w:eastAsia="Times New Roman"/>
          <w:i/>
          <w:iCs/>
          <w:lang w:eastAsia="ru-RU" w:bidi="ru-RU"/>
        </w:rPr>
      </w:pPr>
      <w:r w:rsidRPr="00FA6EED">
        <w:rPr>
          <w:rFonts w:eastAsia="Times New Roman"/>
          <w:i/>
          <w:iCs/>
          <w:lang w:eastAsia="ru-RU" w:bidi="ru-RU"/>
        </w:rPr>
        <w:t>г</w:t>
      </w:r>
    </w:p>
    <w:p w14:paraId="55FE096C" w14:textId="77777777" w:rsidR="00FA6EED" w:rsidRPr="00FA6EED" w:rsidRDefault="00FA6EED" w:rsidP="00FA6EED">
      <w:pPr>
        <w:framePr w:h="4507" w:wrap="notBeside" w:vAnchor="text" w:hAnchor="text" w:xAlign="center" w:y="1"/>
        <w:widowControl w:val="0"/>
        <w:spacing w:line="240" w:lineRule="auto"/>
        <w:ind w:firstLine="0"/>
        <w:jc w:val="center"/>
        <w:rPr>
          <w:rFonts w:ascii="Arial Unicode MS" w:eastAsia="Arial Unicode MS" w:hAnsi="Arial Unicode MS" w:cs="Arial Unicode MS"/>
          <w:sz w:val="2"/>
          <w:szCs w:val="2"/>
          <w:lang w:eastAsia="ru-RU" w:bidi="ru-RU"/>
        </w:rPr>
      </w:pPr>
      <w:r w:rsidRPr="00FA6EED">
        <w:rPr>
          <w:rFonts w:ascii="Arial Unicode MS" w:eastAsia="Arial Unicode MS" w:hAnsi="Arial Unicode MS" w:cs="Arial Unicode MS"/>
          <w:noProof/>
          <w:sz w:val="24"/>
          <w:szCs w:val="24"/>
          <w:lang w:val="be-BY" w:eastAsia="be-BY"/>
        </w:rPr>
        <w:drawing>
          <wp:inline distT="0" distB="0" distL="0" distR="0" wp14:anchorId="7AA26751" wp14:editId="2C11708F">
            <wp:extent cx="4548836" cy="4610100"/>
            <wp:effectExtent l="0" t="0" r="4445" b="0"/>
            <wp:docPr id="4" name="Рисунок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4768" cy="4626247"/>
                    </a:xfrm>
                    <a:prstGeom prst="rect">
                      <a:avLst/>
                    </a:prstGeom>
                    <a:noFill/>
                    <a:ln>
                      <a:noFill/>
                    </a:ln>
                  </pic:spPr>
                </pic:pic>
              </a:graphicData>
            </a:graphic>
          </wp:inline>
        </w:drawing>
      </w:r>
    </w:p>
    <w:p w14:paraId="0DBC4742" w14:textId="77777777" w:rsidR="00FA6EED" w:rsidRPr="00FA6EED" w:rsidRDefault="00FA6EED" w:rsidP="00FA6EED">
      <w:pPr>
        <w:widowControl w:val="0"/>
        <w:spacing w:line="240" w:lineRule="auto"/>
        <w:ind w:firstLine="0"/>
        <w:jc w:val="left"/>
        <w:rPr>
          <w:rFonts w:ascii="Arial Unicode MS" w:eastAsia="Arial Unicode MS" w:hAnsi="Arial Unicode MS" w:cs="Arial Unicode MS"/>
          <w:sz w:val="2"/>
          <w:szCs w:val="2"/>
          <w:lang w:eastAsia="ru-RU" w:bidi="ru-RU"/>
        </w:rPr>
      </w:pPr>
    </w:p>
    <w:p w14:paraId="65CDAC32" w14:textId="77777777" w:rsidR="00965F99" w:rsidRPr="00965F99" w:rsidRDefault="00965F99" w:rsidP="00965F99">
      <w:pPr>
        <w:widowControl w:val="0"/>
        <w:rPr>
          <w:rFonts w:eastAsia="Times New Roman"/>
          <w:lang w:eastAsia="ru-RU" w:bidi="ru-RU"/>
        </w:rPr>
      </w:pPr>
      <w:r w:rsidRPr="00965F99">
        <w:rPr>
          <w:rFonts w:eastAsia="Times New Roman"/>
          <w:lang w:eastAsia="ru-RU" w:bidi="ru-RU"/>
        </w:rPr>
        <w:t>между сравниваемыми показателями (рисунок), выражающуюся, видимо, степенным</w:t>
      </w:r>
    </w:p>
    <w:p w14:paraId="1E53DC2C" w14:textId="4D1AF038" w:rsidR="00965F99" w:rsidRPr="00965F99" w:rsidRDefault="00965F99" w:rsidP="00965F99">
      <w:pPr>
        <w:widowControl w:val="0"/>
        <w:rPr>
          <w:rFonts w:eastAsia="Times New Roman"/>
          <w:lang w:eastAsia="ru-RU" w:bidi="ru-RU"/>
        </w:rPr>
      </w:pPr>
      <w:r w:rsidRPr="00965F99">
        <w:rPr>
          <w:rFonts w:eastAsia="Times New Roman"/>
          <w:lang w:eastAsia="ru-RU" w:bidi="ru-RU"/>
        </w:rPr>
        <w:t xml:space="preserve">                                      </w:t>
      </w:r>
    </w:p>
    <w:p w14:paraId="0C5D6E35" w14:textId="14CACF8D" w:rsidR="00965F99" w:rsidRDefault="00965F99" w:rsidP="00965F99">
      <w:pPr>
        <w:widowControl w:val="0"/>
        <w:rPr>
          <w:rFonts w:eastAsia="Times New Roman"/>
          <w:lang w:eastAsia="ru-RU" w:bidi="ru-RU"/>
        </w:rPr>
      </w:pPr>
      <w:r w:rsidRPr="00965F99">
        <w:rPr>
          <w:rFonts w:eastAsia="Times New Roman"/>
          <w:lang w:eastAsia="ru-RU" w:bidi="ru-RU"/>
        </w:rPr>
        <w:t xml:space="preserve">уравнением вида: у= </w:t>
      </w:r>
      <w:proofErr w:type="spellStart"/>
      <w:r w:rsidRPr="00965F99">
        <w:rPr>
          <w:rFonts w:eastAsia="Times New Roman"/>
          <w:lang w:eastAsia="ru-RU" w:bidi="ru-RU"/>
        </w:rPr>
        <w:t>ах</w:t>
      </w:r>
      <w:r w:rsidRPr="00965F99">
        <w:rPr>
          <w:rFonts w:eastAsia="Times New Roman"/>
          <w:vertAlign w:val="superscript"/>
          <w:lang w:eastAsia="ru-RU" w:bidi="ru-RU"/>
        </w:rPr>
        <w:t>b</w:t>
      </w:r>
      <w:proofErr w:type="spellEnd"/>
    </w:p>
    <w:p w14:paraId="42051B74" w14:textId="77777777" w:rsidR="00965F99" w:rsidRDefault="00965F99" w:rsidP="00FA6EED">
      <w:pPr>
        <w:widowControl w:val="0"/>
        <w:rPr>
          <w:rFonts w:eastAsia="Times New Roman"/>
          <w:lang w:eastAsia="ru-RU" w:bidi="ru-RU"/>
        </w:rPr>
      </w:pPr>
    </w:p>
    <w:p w14:paraId="49621785" w14:textId="000F83AA" w:rsidR="00FA6EED" w:rsidRPr="00FA6EED" w:rsidRDefault="00FA6EED" w:rsidP="00FA6EED">
      <w:pPr>
        <w:widowControl w:val="0"/>
        <w:rPr>
          <w:rFonts w:eastAsia="Times New Roman"/>
          <w:lang w:eastAsia="ru-RU" w:bidi="ru-RU"/>
        </w:rPr>
      </w:pPr>
      <w:r w:rsidRPr="00FA6EED">
        <w:rPr>
          <w:rFonts w:eastAsia="Times New Roman"/>
          <w:lang w:eastAsia="ru-RU" w:bidi="ru-RU"/>
        </w:rPr>
        <w:t xml:space="preserve">Однако найденная зависимость может оказаться ошибочно принятой за криволинейную, а на самом деле выражается уравнением прямой (прямая АС). Ее загиб может быть связан с заниженной величиной промысловой численности впервые вступившего в промысел поколения </w:t>
      </w:r>
      <w:r w:rsidR="0057323A" w:rsidRPr="0057323A">
        <w:rPr>
          <w:rFonts w:eastAsia="Times New Roman"/>
          <w:lang w:eastAsia="ru-RU" w:bidi="ru-RU"/>
        </w:rPr>
        <w:t>201</w:t>
      </w:r>
      <w:r w:rsidRPr="00FA6EED">
        <w:rPr>
          <w:rFonts w:eastAsia="Times New Roman"/>
          <w:lang w:eastAsia="ru-RU" w:bidi="ru-RU"/>
        </w:rPr>
        <w:t>1г. рождения. Уточнить ситуацию можно на следующий год, когда степень использования этого поколения возрастет.</w:t>
      </w:r>
    </w:p>
    <w:p w14:paraId="532D22A1" w14:textId="7787A6FF" w:rsidR="00FA6EED" w:rsidRPr="00FA6EED" w:rsidRDefault="00FA6EED" w:rsidP="00FA6EED">
      <w:pPr>
        <w:widowControl w:val="0"/>
        <w:rPr>
          <w:rFonts w:eastAsia="Times New Roman"/>
          <w:lang w:eastAsia="ru-RU" w:bidi="ru-RU"/>
        </w:rPr>
      </w:pPr>
      <w:r w:rsidRPr="00FA6EED">
        <w:rPr>
          <w:rFonts w:eastAsia="Times New Roman"/>
          <w:lang w:eastAsia="ru-RU" w:bidi="ru-RU"/>
        </w:rPr>
        <w:t xml:space="preserve">Так или иначе, в данном примере разница при прогностическом использовании кривой АВ или прямой АС будет невелика. В первом случае величина промысловой численности поколения </w:t>
      </w:r>
      <w:r w:rsidR="0057323A" w:rsidRPr="0057323A">
        <w:rPr>
          <w:rFonts w:eastAsia="Times New Roman"/>
          <w:lang w:eastAsia="ru-RU" w:bidi="ru-RU"/>
        </w:rPr>
        <w:t>201</w:t>
      </w:r>
      <w:r w:rsidRPr="00FA6EED">
        <w:rPr>
          <w:rFonts w:eastAsia="Times New Roman"/>
          <w:lang w:eastAsia="ru-RU" w:bidi="ru-RU"/>
        </w:rPr>
        <w:t>2 г. равняется 220 млн., во втором — 225 млн. экз.</w:t>
      </w:r>
    </w:p>
    <w:p w14:paraId="0596681D" w14:textId="3AF66538" w:rsidR="00FA6EED" w:rsidRPr="00FA6EED" w:rsidRDefault="00FA6EED" w:rsidP="00FA6EED">
      <w:pPr>
        <w:widowControl w:val="0"/>
        <w:rPr>
          <w:rFonts w:eastAsia="Times New Roman"/>
          <w:lang w:eastAsia="ru-RU" w:bidi="ru-RU"/>
        </w:rPr>
      </w:pPr>
      <w:r w:rsidRPr="00FA6EED">
        <w:rPr>
          <w:rFonts w:eastAsia="Times New Roman"/>
          <w:lang w:eastAsia="ru-RU" w:bidi="ru-RU"/>
        </w:rPr>
        <w:lastRenderedPageBreak/>
        <w:t xml:space="preserve">Прибавив одну из этих величин к объему промыслового запаса последнего года промысла (475 млн. экз.) и отняв от нее улов этого года (200 млн. экз.), получим запас </w:t>
      </w:r>
      <w:r w:rsidR="00965F99">
        <w:rPr>
          <w:rFonts w:eastAsia="Times New Roman"/>
          <w:lang w:eastAsia="ru-RU" w:bidi="ru-RU"/>
        </w:rPr>
        <w:t>201</w:t>
      </w:r>
      <w:r w:rsidRPr="00FA6EED">
        <w:rPr>
          <w:rFonts w:eastAsia="Times New Roman"/>
          <w:lang w:eastAsia="ru-RU" w:bidi="ru-RU"/>
        </w:rPr>
        <w:t xml:space="preserve">5 г.: </w:t>
      </w:r>
      <w:r w:rsidRPr="00FA6EED">
        <w:rPr>
          <w:rFonts w:eastAsia="Times New Roman"/>
          <w:lang w:val="en-US" w:bidi="en-US"/>
        </w:rPr>
        <w:t>Q</w:t>
      </w:r>
      <w:r w:rsidRPr="00FA6EED">
        <w:rPr>
          <w:rFonts w:eastAsia="Times New Roman"/>
          <w:lang w:bidi="en-US"/>
        </w:rPr>
        <w:t xml:space="preserve"> </w:t>
      </w:r>
      <w:r w:rsidRPr="00FA6EED">
        <w:rPr>
          <w:rFonts w:eastAsia="Times New Roman"/>
          <w:lang w:eastAsia="ru-RU" w:bidi="ru-RU"/>
        </w:rPr>
        <w:t>= 475+220-200 =</w:t>
      </w:r>
      <w:r w:rsidR="00965F99">
        <w:rPr>
          <w:rFonts w:eastAsia="Times New Roman"/>
          <w:lang w:eastAsia="ru-RU" w:bidi="ru-RU"/>
        </w:rPr>
        <w:t xml:space="preserve"> </w:t>
      </w:r>
      <w:r w:rsidRPr="00FA6EED">
        <w:rPr>
          <w:rFonts w:eastAsia="Times New Roman"/>
          <w:lang w:eastAsia="ru-RU" w:bidi="ru-RU"/>
        </w:rPr>
        <w:t xml:space="preserve">495 млн. экз. Зная среднюю многолетнюю долю годового изъятия от величины промыслового запаса, рассчитывают вероятный улов этого года. Так, средний процент годового изъятия в нашем примере равняется 42,5. Отсюда улов </w:t>
      </w:r>
      <w:r w:rsidR="00965F99">
        <w:rPr>
          <w:rFonts w:eastAsia="Times New Roman"/>
          <w:lang w:eastAsia="ru-RU" w:bidi="ru-RU"/>
        </w:rPr>
        <w:t>201</w:t>
      </w:r>
      <w:r w:rsidRPr="00FA6EED">
        <w:rPr>
          <w:rFonts w:eastAsia="Times New Roman"/>
          <w:lang w:eastAsia="ru-RU" w:bidi="ru-RU"/>
        </w:rPr>
        <w:t xml:space="preserve">5 г. можно ожидать равным С = 495*42,5/100= 210,4 млн. экз. Имея оценки численности молоди, родившейся в </w:t>
      </w:r>
      <w:r w:rsidR="00965F99">
        <w:rPr>
          <w:rFonts w:eastAsia="Times New Roman"/>
          <w:lang w:eastAsia="ru-RU" w:bidi="ru-RU"/>
        </w:rPr>
        <w:t>201</w:t>
      </w:r>
      <w:r w:rsidRPr="00FA6EED">
        <w:rPr>
          <w:rFonts w:eastAsia="Times New Roman"/>
          <w:lang w:eastAsia="ru-RU" w:bidi="ru-RU"/>
        </w:rPr>
        <w:t xml:space="preserve">3 г., можно определить запас и ожидаемый улов с большей заблаговременностью, например, запас и улов </w:t>
      </w:r>
      <w:r w:rsidR="00965F99">
        <w:rPr>
          <w:rFonts w:eastAsia="Times New Roman"/>
          <w:lang w:eastAsia="ru-RU" w:bidi="ru-RU"/>
        </w:rPr>
        <w:t>201</w:t>
      </w:r>
      <w:r w:rsidRPr="00FA6EED">
        <w:rPr>
          <w:rFonts w:eastAsia="Times New Roman"/>
          <w:lang w:eastAsia="ru-RU" w:bidi="ru-RU"/>
        </w:rPr>
        <w:t>6 г. Методика этого расчета аналогична предыдущей.</w:t>
      </w:r>
    </w:p>
    <w:p w14:paraId="3BED36D9" w14:textId="77777777" w:rsidR="00FA6EED" w:rsidRPr="00FA6EED" w:rsidRDefault="00FA6EED" w:rsidP="00FA6EED">
      <w:pPr>
        <w:widowControl w:val="0"/>
        <w:rPr>
          <w:rFonts w:eastAsia="Times New Roman"/>
          <w:b/>
          <w:bCs/>
          <w:lang w:eastAsia="ru-RU" w:bidi="ru-RU"/>
        </w:rPr>
      </w:pPr>
      <w:r w:rsidRPr="00FA6EED">
        <w:rPr>
          <w:rFonts w:eastAsia="Times New Roman"/>
          <w:b/>
          <w:bCs/>
          <w:lang w:eastAsia="ru-RU" w:bidi="ru-RU"/>
        </w:rPr>
        <w:t>Контрольные вопросы</w:t>
      </w:r>
    </w:p>
    <w:p w14:paraId="165DECA4" w14:textId="4467B9BB" w:rsidR="00FA6EED" w:rsidRPr="00FA6EED" w:rsidRDefault="00FA6EED" w:rsidP="00FA6EED">
      <w:pPr>
        <w:widowControl w:val="0"/>
        <w:tabs>
          <w:tab w:val="left" w:pos="778"/>
        </w:tabs>
        <w:jc w:val="left"/>
        <w:rPr>
          <w:rFonts w:eastAsia="Times New Roman"/>
          <w:lang w:eastAsia="ru-RU" w:bidi="ru-RU"/>
        </w:rPr>
      </w:pPr>
      <w:r w:rsidRPr="00FA6EED">
        <w:rPr>
          <w:rFonts w:eastAsia="Times New Roman"/>
          <w:lang w:eastAsia="ru-RU" w:bidi="ru-RU"/>
        </w:rPr>
        <w:t xml:space="preserve">1. </w:t>
      </w:r>
      <w:r w:rsidRPr="00FA6EED">
        <w:rPr>
          <w:rFonts w:eastAsia="Times New Roman"/>
          <w:lang w:eastAsia="ru-RU" w:bidi="ru-RU"/>
        </w:rPr>
        <w:t>Понятие пополнения.</w:t>
      </w:r>
    </w:p>
    <w:p w14:paraId="21946834" w14:textId="37448226" w:rsidR="009C689C" w:rsidRPr="00FA6EED" w:rsidRDefault="00FA6EED" w:rsidP="00FA6EED">
      <w:r w:rsidRPr="00FA6EED">
        <w:rPr>
          <w:rFonts w:eastAsia="Arial Unicode MS"/>
          <w:lang w:eastAsia="ru-RU" w:bidi="ru-RU"/>
        </w:rPr>
        <w:t xml:space="preserve">2. </w:t>
      </w:r>
      <w:r w:rsidRPr="00FA6EED">
        <w:rPr>
          <w:rFonts w:eastAsia="Arial Unicode MS"/>
          <w:lang w:eastAsia="ru-RU" w:bidi="ru-RU"/>
        </w:rPr>
        <w:t>Виды прогнозов</w:t>
      </w:r>
    </w:p>
    <w:sectPr w:rsidR="009C689C" w:rsidRPr="00FA6EED" w:rsidSect="001C37C2">
      <w:footerReference w:type="default" r:id="rId8"/>
      <w:type w:val="continuous"/>
      <w:pgSz w:w="11909" w:h="16834"/>
      <w:pgMar w:top="1134" w:right="567" w:bottom="1134" w:left="1701" w:header="0" w:footer="6"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76DB" w14:textId="77777777" w:rsidR="00EE76A6" w:rsidRDefault="00EE76A6" w:rsidP="00965F99">
      <w:pPr>
        <w:spacing w:line="240" w:lineRule="auto"/>
      </w:pPr>
      <w:r>
        <w:separator/>
      </w:r>
    </w:p>
  </w:endnote>
  <w:endnote w:type="continuationSeparator" w:id="0">
    <w:p w14:paraId="456D1FFC" w14:textId="77777777" w:rsidR="00EE76A6" w:rsidRDefault="00EE76A6" w:rsidP="00965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258245"/>
      <w:docPartObj>
        <w:docPartGallery w:val="Page Numbers (Bottom of Page)"/>
        <w:docPartUnique/>
      </w:docPartObj>
    </w:sdtPr>
    <w:sdtContent>
      <w:p w14:paraId="1C82FC65" w14:textId="35754824" w:rsidR="00965F99" w:rsidRDefault="00965F99">
        <w:pPr>
          <w:pStyle w:val="a6"/>
          <w:jc w:val="center"/>
        </w:pPr>
        <w:r>
          <w:fldChar w:fldCharType="begin"/>
        </w:r>
        <w:r>
          <w:instrText>PAGE   \* MERGEFORMAT</w:instrText>
        </w:r>
        <w:r>
          <w:fldChar w:fldCharType="separate"/>
        </w:r>
        <w:r>
          <w:t>2</w:t>
        </w:r>
        <w:r>
          <w:fldChar w:fldCharType="end"/>
        </w:r>
      </w:p>
    </w:sdtContent>
  </w:sdt>
  <w:p w14:paraId="26709A12" w14:textId="77777777" w:rsidR="00965F99" w:rsidRDefault="00965F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072E" w14:textId="77777777" w:rsidR="00EE76A6" w:rsidRDefault="00EE76A6" w:rsidP="00965F99">
      <w:pPr>
        <w:spacing w:line="240" w:lineRule="auto"/>
      </w:pPr>
      <w:r>
        <w:separator/>
      </w:r>
    </w:p>
  </w:footnote>
  <w:footnote w:type="continuationSeparator" w:id="0">
    <w:p w14:paraId="2DE5874D" w14:textId="77777777" w:rsidR="00EE76A6" w:rsidRDefault="00EE76A6" w:rsidP="00965F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EAA"/>
    <w:multiLevelType w:val="multilevel"/>
    <w:tmpl w:val="192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CC05C3"/>
    <w:multiLevelType w:val="hybridMultilevel"/>
    <w:tmpl w:val="636ED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ED"/>
    <w:rsid w:val="001C37C2"/>
    <w:rsid w:val="003576E6"/>
    <w:rsid w:val="0057323A"/>
    <w:rsid w:val="00965F99"/>
    <w:rsid w:val="009C689C"/>
    <w:rsid w:val="00EE76A6"/>
    <w:rsid w:val="00FA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34B7"/>
  <w15:chartTrackingRefBased/>
  <w15:docId w15:val="{96523E12-C602-4188-BCEC-F4C3A47F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EED"/>
    <w:pPr>
      <w:ind w:left="720"/>
      <w:contextualSpacing/>
    </w:pPr>
  </w:style>
  <w:style w:type="paragraph" w:styleId="a4">
    <w:name w:val="header"/>
    <w:basedOn w:val="a"/>
    <w:link w:val="a5"/>
    <w:uiPriority w:val="99"/>
    <w:unhideWhenUsed/>
    <w:rsid w:val="00965F99"/>
    <w:pPr>
      <w:tabs>
        <w:tab w:val="center" w:pos="4677"/>
        <w:tab w:val="right" w:pos="9355"/>
      </w:tabs>
      <w:spacing w:line="240" w:lineRule="auto"/>
    </w:pPr>
  </w:style>
  <w:style w:type="character" w:customStyle="1" w:styleId="a5">
    <w:name w:val="Верхний колонтитул Знак"/>
    <w:basedOn w:val="a0"/>
    <w:link w:val="a4"/>
    <w:uiPriority w:val="99"/>
    <w:rsid w:val="00965F99"/>
  </w:style>
  <w:style w:type="paragraph" w:styleId="a6">
    <w:name w:val="footer"/>
    <w:basedOn w:val="a"/>
    <w:link w:val="a7"/>
    <w:uiPriority w:val="99"/>
    <w:unhideWhenUsed/>
    <w:rsid w:val="00965F99"/>
    <w:pPr>
      <w:tabs>
        <w:tab w:val="center" w:pos="4677"/>
        <w:tab w:val="right" w:pos="9355"/>
      </w:tabs>
      <w:spacing w:line="240" w:lineRule="auto"/>
    </w:pPr>
  </w:style>
  <w:style w:type="character" w:customStyle="1" w:styleId="a7">
    <w:name w:val="Нижний колонтитул Знак"/>
    <w:basedOn w:val="a0"/>
    <w:link w:val="a6"/>
    <w:uiPriority w:val="99"/>
    <w:rsid w:val="0096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1</cp:revision>
  <dcterms:created xsi:type="dcterms:W3CDTF">2024-10-08T10:55:00Z</dcterms:created>
  <dcterms:modified xsi:type="dcterms:W3CDTF">2024-10-08T11:26:00Z</dcterms:modified>
</cp:coreProperties>
</file>